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579" w:rsidRDefault="0061492A">
      <w:pPr>
        <w:spacing w:after="0" w:line="240" w:lineRule="auto"/>
        <w:rPr>
          <w:rFonts w:ascii="Bookman Old Style" w:eastAsia="Bookman Old Style" w:hAnsi="Bookman Old Style" w:cs="Bookman Old Style"/>
          <w:b/>
          <w:color w:val="17365D"/>
          <w:sz w:val="32"/>
          <w:szCs w:val="32"/>
        </w:rPr>
      </w:pPr>
      <w:r>
        <w:rPr>
          <w:rFonts w:ascii="Times New Roman" w:eastAsia="Times New Roman" w:hAnsi="Times New Roman" w:cs="Times New Roman"/>
          <w:b/>
          <w:color w:val="17365D"/>
          <w:sz w:val="32"/>
          <w:szCs w:val="32"/>
        </w:rPr>
        <w:t xml:space="preserve">           </w:t>
      </w:r>
      <w:r>
        <w:rPr>
          <w:rFonts w:ascii="Bookman Old Style" w:eastAsia="Bookman Old Style" w:hAnsi="Bookman Old Style" w:cs="Bookman Old Style"/>
          <w:b/>
          <w:color w:val="17365D"/>
          <w:sz w:val="32"/>
          <w:szCs w:val="32"/>
        </w:rPr>
        <w:t>Somerset County Health Department</w:t>
      </w:r>
      <w:r>
        <w:rPr>
          <w:noProof/>
        </w:rPr>
        <w:drawing>
          <wp:anchor distT="0" distB="0" distL="114300" distR="114300" simplePos="0" relativeHeight="251658240" behindDoc="0" locked="0" layoutInCell="1" hidden="0" allowOverlap="1">
            <wp:simplePos x="0" y="0"/>
            <wp:positionH relativeFrom="column">
              <wp:posOffset>-163829</wp:posOffset>
            </wp:positionH>
            <wp:positionV relativeFrom="paragraph">
              <wp:posOffset>-140969</wp:posOffset>
            </wp:positionV>
            <wp:extent cx="1046480" cy="1173480"/>
            <wp:effectExtent l="0" t="0" r="0" b="0"/>
            <wp:wrapSquare wrapText="bothSides" distT="0" distB="0" distL="114300" distR="114300"/>
            <wp:docPr id="2" name="image1.png" descr="Somerset Logo 2019.png"/>
            <wp:cNvGraphicFramePr/>
            <a:graphic xmlns:a="http://schemas.openxmlformats.org/drawingml/2006/main">
              <a:graphicData uri="http://schemas.openxmlformats.org/drawingml/2006/picture">
                <pic:pic xmlns:pic="http://schemas.openxmlformats.org/drawingml/2006/picture">
                  <pic:nvPicPr>
                    <pic:cNvPr id="0" name="image1.png" descr="Somerset Logo 2019.png"/>
                    <pic:cNvPicPr preferRelativeResize="0"/>
                  </pic:nvPicPr>
                  <pic:blipFill>
                    <a:blip r:embed="rId6"/>
                    <a:srcRect/>
                    <a:stretch>
                      <a:fillRect/>
                    </a:stretch>
                  </pic:blipFill>
                  <pic:spPr>
                    <a:xfrm>
                      <a:off x="0" y="0"/>
                      <a:ext cx="1046480" cy="1173480"/>
                    </a:xfrm>
                    <a:prstGeom prst="rect">
                      <a:avLst/>
                    </a:prstGeom>
                    <a:ln/>
                  </pic:spPr>
                </pic:pic>
              </a:graphicData>
            </a:graphic>
          </wp:anchor>
        </w:drawing>
      </w:r>
    </w:p>
    <w:p w:rsidR="00B44579" w:rsidRDefault="0061492A">
      <w:pPr>
        <w:spacing w:after="0" w:line="240" w:lineRule="auto"/>
        <w:rPr>
          <w:rFonts w:ascii="Bookman Old Style" w:eastAsia="Bookman Old Style" w:hAnsi="Bookman Old Style" w:cs="Bookman Old Style"/>
          <w:color w:val="17365D"/>
          <w:sz w:val="24"/>
          <w:szCs w:val="24"/>
        </w:rPr>
      </w:pPr>
      <w:r>
        <w:rPr>
          <w:rFonts w:ascii="Bookman Old Style" w:eastAsia="Bookman Old Style" w:hAnsi="Bookman Old Style" w:cs="Bookman Old Style"/>
          <w:color w:val="17365D"/>
          <w:sz w:val="28"/>
          <w:szCs w:val="28"/>
        </w:rPr>
        <w:t xml:space="preserve">         </w:t>
      </w:r>
      <w:r>
        <w:rPr>
          <w:rFonts w:ascii="Bookman Old Style" w:eastAsia="Bookman Old Style" w:hAnsi="Bookman Old Style" w:cs="Bookman Old Style"/>
          <w:color w:val="17365D"/>
          <w:sz w:val="24"/>
          <w:szCs w:val="24"/>
        </w:rPr>
        <w:t>8928 Sign Post Road, Suite 2, Westover, Maryland 21871</w:t>
      </w:r>
    </w:p>
    <w:p w:rsidR="00B44579" w:rsidRDefault="0061492A">
      <w:pPr>
        <w:spacing w:after="0" w:line="240" w:lineRule="auto"/>
        <w:rPr>
          <w:rFonts w:ascii="Bookman Old Style" w:eastAsia="Bookman Old Style" w:hAnsi="Bookman Old Style" w:cs="Bookman Old Style"/>
          <w:color w:val="17365D"/>
          <w:sz w:val="24"/>
          <w:szCs w:val="24"/>
        </w:rPr>
      </w:pPr>
      <w:r>
        <w:rPr>
          <w:rFonts w:ascii="Bookman Old Style" w:eastAsia="Bookman Old Style" w:hAnsi="Bookman Old Style" w:cs="Bookman Old Style"/>
          <w:color w:val="17365D"/>
          <w:sz w:val="28"/>
          <w:szCs w:val="28"/>
        </w:rPr>
        <w:t xml:space="preserve">    </w:t>
      </w:r>
      <w:r>
        <w:rPr>
          <w:rFonts w:ascii="Bookman Old Style" w:eastAsia="Bookman Old Style" w:hAnsi="Bookman Old Style" w:cs="Bookman Old Style"/>
          <w:color w:val="17365D"/>
          <w:sz w:val="24"/>
          <w:szCs w:val="24"/>
        </w:rPr>
        <w:t xml:space="preserve">443.523.1700 </w:t>
      </w:r>
      <w:r>
        <w:rPr>
          <w:rFonts w:ascii="Symbol" w:eastAsia="Symbol" w:hAnsi="Symbol" w:cs="Symbol"/>
          <w:color w:val="17365D"/>
          <w:sz w:val="24"/>
          <w:szCs w:val="24"/>
        </w:rPr>
        <w:t>∙</w:t>
      </w:r>
      <w:r>
        <w:rPr>
          <w:rFonts w:ascii="Bookman Old Style" w:eastAsia="Bookman Old Style" w:hAnsi="Bookman Old Style" w:cs="Bookman Old Style"/>
          <w:color w:val="17365D"/>
          <w:sz w:val="24"/>
          <w:szCs w:val="24"/>
        </w:rPr>
        <w:t xml:space="preserve"> Fax 410.651.5680 </w:t>
      </w:r>
      <w:r>
        <w:rPr>
          <w:rFonts w:ascii="Symbol" w:eastAsia="Symbol" w:hAnsi="Symbol" w:cs="Symbol"/>
          <w:color w:val="17365D"/>
          <w:sz w:val="24"/>
          <w:szCs w:val="24"/>
        </w:rPr>
        <w:t>∙</w:t>
      </w:r>
      <w:r>
        <w:rPr>
          <w:rFonts w:ascii="Bookman Old Style" w:eastAsia="Bookman Old Style" w:hAnsi="Bookman Old Style" w:cs="Bookman Old Style"/>
          <w:color w:val="17365D"/>
          <w:sz w:val="24"/>
          <w:szCs w:val="24"/>
        </w:rPr>
        <w:t xml:space="preserve"> TDD 1-800-735-2258 </w:t>
      </w:r>
    </w:p>
    <w:p w:rsidR="00B44579" w:rsidRDefault="00B44579">
      <w:pPr>
        <w:spacing w:after="0" w:line="240" w:lineRule="auto"/>
        <w:jc w:val="center"/>
        <w:rPr>
          <w:rFonts w:ascii="Bookman Old Style" w:eastAsia="Bookman Old Style" w:hAnsi="Bookman Old Style" w:cs="Bookman Old Style"/>
          <w:color w:val="17365D"/>
          <w:sz w:val="18"/>
          <w:szCs w:val="18"/>
        </w:rPr>
      </w:pPr>
    </w:p>
    <w:p w:rsidR="00B44579" w:rsidRDefault="0061492A">
      <w:pPr>
        <w:spacing w:after="0" w:line="240" w:lineRule="auto"/>
        <w:rPr>
          <w:rFonts w:ascii="Bookman Old Style" w:eastAsia="Bookman Old Style" w:hAnsi="Bookman Old Style" w:cs="Bookman Old Style"/>
          <w:color w:val="17365D"/>
        </w:rPr>
      </w:pPr>
      <w:r>
        <w:rPr>
          <w:rFonts w:ascii="Bookman Old Style" w:eastAsia="Bookman Old Style" w:hAnsi="Bookman Old Style" w:cs="Bookman Old Style"/>
          <w:color w:val="17365D"/>
          <w:sz w:val="24"/>
          <w:szCs w:val="24"/>
        </w:rPr>
        <w:t xml:space="preserve">          </w:t>
      </w:r>
      <w:r>
        <w:rPr>
          <w:rFonts w:ascii="Bookman Old Style" w:eastAsia="Bookman Old Style" w:hAnsi="Bookman Old Style" w:cs="Bookman Old Style"/>
          <w:color w:val="17365D"/>
        </w:rPr>
        <w:t xml:space="preserve"> Health Officer Lori Brewster, MS, APRN/BC, LCADC</w:t>
      </w:r>
    </w:p>
    <w:p w:rsidR="00B44579" w:rsidRDefault="0061492A">
      <w:r>
        <w:rPr>
          <w:noProof/>
        </w:rPr>
        <mc:AlternateContent>
          <mc:Choice Requires="wpg">
            <w:drawing>
              <wp:anchor distT="0" distB="0" distL="114300" distR="114300" simplePos="0" relativeHeight="251659264" behindDoc="0" locked="0" layoutInCell="1" hidden="0" allowOverlap="1">
                <wp:simplePos x="0" y="0"/>
                <wp:positionH relativeFrom="column">
                  <wp:posOffset>-485774</wp:posOffset>
                </wp:positionH>
                <wp:positionV relativeFrom="paragraph">
                  <wp:posOffset>142875</wp:posOffset>
                </wp:positionV>
                <wp:extent cx="6797675" cy="31750"/>
                <wp:effectExtent l="0" t="0" r="0" b="0"/>
                <wp:wrapNone/>
                <wp:docPr id="1" name=""/>
                <wp:cNvGraphicFramePr/>
                <a:graphic xmlns:a="http://schemas.openxmlformats.org/drawingml/2006/main">
                  <a:graphicData uri="http://schemas.microsoft.com/office/word/2010/wordprocessingShape">
                    <wps:wsp>
                      <wps:cNvSpPr/>
                      <wps:spPr>
                        <a:xfrm>
                          <a:off x="1955100" y="3780000"/>
                          <a:ext cx="6781800" cy="0"/>
                        </a:xfrm>
                        <a:custGeom>
                          <a:avLst/>
                          <a:gdLst/>
                          <a:ahLst/>
                          <a:cxnLst/>
                          <a:rect l="l" t="t" r="r" b="b"/>
                          <a:pathLst>
                            <a:path w="6781800" h="1" extrusionOk="0">
                              <a:moveTo>
                                <a:pt x="0" y="0"/>
                              </a:moveTo>
                              <a:lnTo>
                                <a:pt x="6781800" y="0"/>
                              </a:lnTo>
                            </a:path>
                          </a:pathLst>
                        </a:custGeom>
                        <a:solidFill>
                          <a:srgbClr val="FFFFFF"/>
                        </a:solidFill>
                        <a:ln w="15875" cap="flat" cmpd="sng">
                          <a:solidFill>
                            <a:srgbClr val="B3995D"/>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-485774</wp:posOffset>
                </wp:positionH>
                <wp:positionV relativeFrom="paragraph">
                  <wp:posOffset>142875</wp:posOffset>
                </wp:positionV>
                <wp:extent cx="6797675" cy="3175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797675" cy="31750"/>
                        </a:xfrm>
                        <a:prstGeom prst="rect"/>
                        <a:ln/>
                      </pic:spPr>
                    </pic:pic>
                  </a:graphicData>
                </a:graphic>
              </wp:anchor>
            </w:drawing>
          </mc:Fallback>
        </mc:AlternateContent>
      </w:r>
    </w:p>
    <w:p w:rsidR="00B44579" w:rsidRDefault="0061492A">
      <w:pPr>
        <w:spacing w:after="0"/>
        <w:jc w:val="center"/>
        <w:rPr>
          <w:b/>
          <w:sz w:val="32"/>
          <w:szCs w:val="32"/>
        </w:rPr>
      </w:pPr>
      <w:r>
        <w:rPr>
          <w:b/>
          <w:sz w:val="32"/>
          <w:szCs w:val="32"/>
        </w:rPr>
        <w:t>Request for Proposals for FY’20 Funding</w:t>
      </w:r>
    </w:p>
    <w:p w:rsidR="00B44579" w:rsidRDefault="0061492A">
      <w:pPr>
        <w:spacing w:after="0"/>
        <w:jc w:val="center"/>
        <w:rPr>
          <w:b/>
          <w:sz w:val="32"/>
          <w:szCs w:val="32"/>
        </w:rPr>
      </w:pPr>
      <w:r>
        <w:rPr>
          <w:b/>
          <w:sz w:val="32"/>
          <w:szCs w:val="32"/>
        </w:rPr>
        <w:t>Sexual Risk Avoidance Education (SRAE) Program</w:t>
      </w:r>
    </w:p>
    <w:p w:rsidR="00B44579" w:rsidRDefault="0061492A">
      <w:r>
        <w:t xml:space="preserve"> </w:t>
      </w:r>
    </w:p>
    <w:p w:rsidR="00B44579" w:rsidRDefault="006149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Somerset County Health Department is soliciting proposals from community and </w:t>
      </w:r>
      <w:proofErr w:type="gramStart"/>
      <w:r>
        <w:rPr>
          <w:rFonts w:ascii="Times New Roman" w:eastAsia="Times New Roman" w:hAnsi="Times New Roman" w:cs="Times New Roman"/>
          <w:sz w:val="24"/>
          <w:szCs w:val="24"/>
        </w:rPr>
        <w:t>school based</w:t>
      </w:r>
      <w:proofErr w:type="gramEnd"/>
      <w:r>
        <w:rPr>
          <w:rFonts w:ascii="Times New Roman" w:eastAsia="Times New Roman" w:hAnsi="Times New Roman" w:cs="Times New Roman"/>
          <w:sz w:val="24"/>
          <w:szCs w:val="24"/>
        </w:rPr>
        <w:t xml:space="preserve"> organizations interested in funding to implement Sexual Risk Avoidance Ed</w:t>
      </w:r>
      <w:r>
        <w:rPr>
          <w:rFonts w:ascii="Times New Roman" w:eastAsia="Times New Roman" w:hAnsi="Times New Roman" w:cs="Times New Roman"/>
          <w:sz w:val="24"/>
          <w:szCs w:val="24"/>
        </w:rPr>
        <w:t>ucation (SRAE) programming at county after-school and/or community centers. The program will be implemented using an evidence-based curriculum “PHAT-A: Promoting Health Among Teens!” ages 12-19 or “MAD: Making a Difference!” to youth ages of 10-19. This pr</w:t>
      </w:r>
      <w:r>
        <w:rPr>
          <w:rFonts w:ascii="Times New Roman" w:eastAsia="Times New Roman" w:hAnsi="Times New Roman" w:cs="Times New Roman"/>
          <w:sz w:val="24"/>
          <w:szCs w:val="24"/>
        </w:rPr>
        <w:t>ogram will follow a train-the-trainer model for all agencies that wish to participate.</w:t>
      </w:r>
    </w:p>
    <w:p w:rsidR="00B44579" w:rsidRDefault="00B44579">
      <w:pPr>
        <w:spacing w:after="0" w:line="273" w:lineRule="auto"/>
        <w:rPr>
          <w:rFonts w:ascii="Times New Roman" w:eastAsia="Times New Roman" w:hAnsi="Times New Roman" w:cs="Times New Roman"/>
          <w:b/>
          <w:sz w:val="24"/>
          <w:szCs w:val="24"/>
        </w:rPr>
      </w:pPr>
    </w:p>
    <w:p w:rsidR="00B44579" w:rsidRDefault="0061492A">
      <w:pPr>
        <w:spacing w:after="0" w:line="27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rsidR="00B44579" w:rsidRDefault="0061492A">
      <w:pPr>
        <w:spacing w:after="0"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Teenage pregnancies and associated consequences of sexual activity continue to be a major concern in Somerset County. The increased spread of sexually transm</w:t>
      </w:r>
      <w:r>
        <w:rPr>
          <w:rFonts w:ascii="Times New Roman" w:eastAsia="Times New Roman" w:hAnsi="Times New Roman" w:cs="Times New Roman"/>
          <w:sz w:val="24"/>
          <w:szCs w:val="24"/>
        </w:rPr>
        <w:t>itted infections is of high importance as evidenced through data from DHMH reports. In 2018, the county’s Chlamydia, Gonorrhea and Syphilis cases and rates surpassed the 2017 county rate and were significantly higher than the overall state rate. Most notic</w:t>
      </w:r>
      <w:r>
        <w:rPr>
          <w:rFonts w:ascii="Times New Roman" w:eastAsia="Times New Roman" w:hAnsi="Times New Roman" w:cs="Times New Roman"/>
          <w:sz w:val="24"/>
          <w:szCs w:val="24"/>
        </w:rPr>
        <w:t xml:space="preserve">eably was the number of Chlamydia and Gonorrhea cases which was very high in a </w:t>
      </w:r>
      <w:proofErr w:type="gramStart"/>
      <w:r>
        <w:rPr>
          <w:rFonts w:ascii="Times New Roman" w:eastAsia="Times New Roman" w:hAnsi="Times New Roman" w:cs="Times New Roman"/>
          <w:sz w:val="24"/>
          <w:szCs w:val="24"/>
        </w:rPr>
        <w:t>one year</w:t>
      </w:r>
      <w:proofErr w:type="gramEnd"/>
      <w:r>
        <w:rPr>
          <w:rFonts w:ascii="Times New Roman" w:eastAsia="Times New Roman" w:hAnsi="Times New Roman" w:cs="Times New Roman"/>
          <w:sz w:val="24"/>
          <w:szCs w:val="24"/>
        </w:rPr>
        <w:t xml:space="preserve"> span. Chlamydia increased 5.6% and Gonorrhea increased 51.9% from 2017 to 2018. The 2017 Youth Risk Behavior Survey (YRBS) had many sobering statistics. Nationwide, 39.</w:t>
      </w:r>
      <w:r>
        <w:rPr>
          <w:rFonts w:ascii="Times New Roman" w:eastAsia="Times New Roman" w:hAnsi="Times New Roman" w:cs="Times New Roman"/>
          <w:sz w:val="24"/>
          <w:szCs w:val="24"/>
        </w:rPr>
        <w:t>5% of high school students reported having sexual intercourse. Nationwide, 3.4% of students have had sexual intercourse for the first time before the age of 13 years old. In the state of Maryland, 2.0% reported having sex before the age of 13. Also, in Mar</w:t>
      </w:r>
      <w:r>
        <w:rPr>
          <w:rFonts w:ascii="Times New Roman" w:eastAsia="Times New Roman" w:hAnsi="Times New Roman" w:cs="Times New Roman"/>
          <w:sz w:val="24"/>
          <w:szCs w:val="24"/>
        </w:rPr>
        <w:t>yland 29.7% of high school students has reported having sexual intercourse. That percent rose with each academic year to a high of 60% of twelfth graders. Of those, the sexual intercourse percentage is higher among African American students (45.8%) than an</w:t>
      </w:r>
      <w:r>
        <w:rPr>
          <w:rFonts w:ascii="Times New Roman" w:eastAsia="Times New Roman" w:hAnsi="Times New Roman" w:cs="Times New Roman"/>
          <w:sz w:val="24"/>
          <w:szCs w:val="24"/>
        </w:rPr>
        <w:t>y other race. It is also higher (7.5%) for African American students who have reported having sexual intercourse for the first time before the age of 13. 28.7% of high school students report current sexual activity yet only 23.1% report using any form of b</w:t>
      </w:r>
      <w:r>
        <w:rPr>
          <w:rFonts w:ascii="Times New Roman" w:eastAsia="Times New Roman" w:hAnsi="Times New Roman" w:cs="Times New Roman"/>
          <w:sz w:val="24"/>
          <w:szCs w:val="24"/>
        </w:rPr>
        <w:t>irth control. There were no county stats in the YBRS, only nationwide and state stats.</w:t>
      </w:r>
    </w:p>
    <w:p w:rsidR="00B44579" w:rsidRDefault="00B44579">
      <w:pPr>
        <w:rPr>
          <w:rFonts w:ascii="Times New Roman" w:eastAsia="Times New Roman" w:hAnsi="Times New Roman" w:cs="Times New Roman"/>
          <w:b/>
          <w:sz w:val="24"/>
          <w:szCs w:val="24"/>
        </w:rPr>
      </w:pPr>
    </w:p>
    <w:p w:rsidR="00B44579" w:rsidRDefault="0061492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INFORMATION</w:t>
      </w:r>
    </w:p>
    <w:p w:rsidR="00B44579" w:rsidRDefault="0061492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Funding up to</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$2,000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will be available for the 2020 fiscal year. Proposals must be submitted to </w:t>
      </w:r>
      <w:proofErr w:type="spellStart"/>
      <w:r>
        <w:rPr>
          <w:rFonts w:ascii="Times New Roman" w:eastAsia="Times New Roman" w:hAnsi="Times New Roman" w:cs="Times New Roman"/>
          <w:sz w:val="24"/>
          <w:szCs w:val="24"/>
        </w:rPr>
        <w:t>Tynice</w:t>
      </w:r>
      <w:proofErr w:type="spellEnd"/>
      <w:r>
        <w:rPr>
          <w:rFonts w:ascii="Times New Roman" w:eastAsia="Times New Roman" w:hAnsi="Times New Roman" w:cs="Times New Roman"/>
          <w:sz w:val="24"/>
          <w:szCs w:val="24"/>
        </w:rPr>
        <w:t xml:space="preserve"> DeShields, Somerset County Health Department </w:t>
      </w:r>
      <w:r>
        <w:rPr>
          <w:rFonts w:ascii="Times New Roman" w:eastAsia="Times New Roman" w:hAnsi="Times New Roman" w:cs="Times New Roman"/>
          <w:sz w:val="24"/>
          <w:szCs w:val="24"/>
        </w:rPr>
        <w:t xml:space="preserve">via email at </w:t>
      </w:r>
      <w:hyperlink r:id="rId8">
        <w:r>
          <w:rPr>
            <w:rFonts w:ascii="Times New Roman" w:eastAsia="Times New Roman" w:hAnsi="Times New Roman" w:cs="Times New Roman"/>
            <w:color w:val="1155CC"/>
            <w:sz w:val="24"/>
            <w:szCs w:val="24"/>
            <w:u w:val="single"/>
          </w:rPr>
          <w:t>tynice.deshields@maryland.gov</w:t>
        </w:r>
      </w:hyperlink>
      <w:r>
        <w:rPr>
          <w:rFonts w:ascii="Times New Roman" w:eastAsia="Times New Roman" w:hAnsi="Times New Roman" w:cs="Times New Roman"/>
          <w:sz w:val="24"/>
          <w:szCs w:val="24"/>
        </w:rPr>
        <w:t xml:space="preserve">. by </w:t>
      </w:r>
      <w:r>
        <w:rPr>
          <w:rFonts w:ascii="Times New Roman" w:eastAsia="Times New Roman" w:hAnsi="Times New Roman" w:cs="Times New Roman"/>
          <w:b/>
          <w:sz w:val="24"/>
          <w:szCs w:val="24"/>
        </w:rPr>
        <w:t>October 28, 2019</w:t>
      </w:r>
      <w:r>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color w:val="222222"/>
          <w:sz w:val="24"/>
          <w:szCs w:val="24"/>
          <w:highlight w:val="white"/>
          <w:u w:val="single"/>
        </w:rPr>
        <w:t>Awards will be made pending budget approva</w:t>
      </w:r>
      <w:r>
        <w:rPr>
          <w:rFonts w:ascii="Times New Roman" w:eastAsia="Times New Roman" w:hAnsi="Times New Roman" w:cs="Times New Roman"/>
          <w:b/>
          <w:color w:val="222222"/>
          <w:sz w:val="24"/>
          <w:szCs w:val="24"/>
          <w:highlight w:val="white"/>
        </w:rPr>
        <w:t>l</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Questions related to this application are permitted by emailing Mrs. DeShields or calling 443-523-1700.</w:t>
      </w:r>
    </w:p>
    <w:p w:rsidR="00B44579" w:rsidRDefault="00B44579">
      <w:pPr>
        <w:spacing w:after="0"/>
      </w:pPr>
      <w:bookmarkStart w:id="0" w:name="_GoBack"/>
      <w:bookmarkEnd w:id="0"/>
    </w:p>
    <w:p w:rsidR="00B44579" w:rsidRDefault="0061492A">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Applications will be competitive</w:t>
      </w:r>
      <w:r>
        <w:rPr>
          <w:rFonts w:ascii="Times New Roman" w:eastAsia="Times New Roman" w:hAnsi="Times New Roman" w:cs="Times New Roman"/>
          <w:sz w:val="24"/>
          <w:szCs w:val="24"/>
        </w:rPr>
        <w:t xml:space="preserve"> and only those proposals that best align with this initiative will be awarded. Funds can be used for educational mater</w:t>
      </w:r>
      <w:r>
        <w:rPr>
          <w:rFonts w:ascii="Times New Roman" w:eastAsia="Times New Roman" w:hAnsi="Times New Roman" w:cs="Times New Roman"/>
          <w:sz w:val="24"/>
          <w:szCs w:val="24"/>
        </w:rPr>
        <w:t>ials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snacks, educational trips, incentives, and educational events that align with program goals and objectives</w:t>
      </w:r>
      <w:r>
        <w:rPr>
          <w:rFonts w:ascii="Times New Roman" w:eastAsia="Times New Roman" w:hAnsi="Times New Roman" w:cs="Times New Roman"/>
          <w:b/>
          <w:sz w:val="24"/>
          <w:szCs w:val="24"/>
        </w:rPr>
        <w:t>.</w:t>
      </w:r>
    </w:p>
    <w:p w:rsidR="00B44579" w:rsidRDefault="0061492A">
      <w:pPr>
        <w:spacing w:after="0"/>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 xml:space="preserve">All activities must be completed and funds spent by </w:t>
      </w:r>
      <w:r>
        <w:rPr>
          <w:rFonts w:ascii="Times New Roman" w:eastAsia="Times New Roman" w:hAnsi="Times New Roman" w:cs="Times New Roman"/>
          <w:b/>
          <w:sz w:val="24"/>
          <w:szCs w:val="24"/>
        </w:rPr>
        <w:t>May 31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2020</w:t>
      </w:r>
      <w:r>
        <w:rPr>
          <w:rFonts w:ascii="Times New Roman" w:eastAsia="Times New Roman" w:hAnsi="Times New Roman" w:cs="Times New Roman"/>
          <w:sz w:val="24"/>
          <w:szCs w:val="24"/>
        </w:rPr>
        <w:t xml:space="preserve"> to allow adequate time for completion of activity and budget reports. Final </w:t>
      </w:r>
      <w:r>
        <w:rPr>
          <w:rFonts w:ascii="Times New Roman" w:eastAsia="Times New Roman" w:hAnsi="Times New Roman" w:cs="Times New Roman"/>
          <w:sz w:val="24"/>
          <w:szCs w:val="24"/>
        </w:rPr>
        <w:t xml:space="preserve">reports will be due by </w:t>
      </w:r>
      <w:r>
        <w:rPr>
          <w:rFonts w:ascii="Times New Roman" w:eastAsia="Times New Roman" w:hAnsi="Times New Roman" w:cs="Times New Roman"/>
          <w:b/>
          <w:sz w:val="24"/>
          <w:szCs w:val="24"/>
        </w:rPr>
        <w:t>June 5, 2020</w:t>
      </w:r>
      <w:r>
        <w:rPr>
          <w:rFonts w:ascii="Times New Roman" w:eastAsia="Times New Roman" w:hAnsi="Times New Roman" w:cs="Times New Roman"/>
          <w:sz w:val="24"/>
          <w:szCs w:val="24"/>
        </w:rPr>
        <w:t>.</w:t>
      </w:r>
    </w:p>
    <w:p w:rsidR="00B44579" w:rsidRDefault="00B44579">
      <w:pPr>
        <w:rPr>
          <w:rFonts w:ascii="Times New Roman" w:eastAsia="Times New Roman" w:hAnsi="Times New Roman" w:cs="Times New Roman"/>
          <w:b/>
          <w:sz w:val="24"/>
          <w:szCs w:val="24"/>
        </w:rPr>
      </w:pPr>
    </w:p>
    <w:p w:rsidR="00B44579" w:rsidRDefault="0061492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w:t>
      </w:r>
    </w:p>
    <w:p w:rsidR="00B44579" w:rsidRDefault="0061492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Please submit a proposal of no more than 2 pages that includes:</w:t>
      </w:r>
    </w:p>
    <w:p w:rsidR="00B44579" w:rsidRDefault="0061492A">
      <w:pPr>
        <w:spacing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 xml:space="preserve">Summary of Proposal. </w:t>
      </w:r>
      <w:r>
        <w:rPr>
          <w:rFonts w:ascii="Times New Roman" w:eastAsia="Times New Roman" w:hAnsi="Times New Roman" w:cs="Times New Roman"/>
          <w:sz w:val="24"/>
          <w:szCs w:val="24"/>
        </w:rPr>
        <w:t>In no more than two paragraphs, describe the item(s) or activities proposed, the project goals, the non-duplicate num</w:t>
      </w:r>
      <w:r>
        <w:rPr>
          <w:rFonts w:ascii="Times New Roman" w:eastAsia="Times New Roman" w:hAnsi="Times New Roman" w:cs="Times New Roman"/>
          <w:sz w:val="24"/>
          <w:szCs w:val="24"/>
        </w:rPr>
        <w:t>ber of youth and adults to be educated.</w:t>
      </w:r>
    </w:p>
    <w:p w:rsidR="00B44579" w:rsidRDefault="0061492A">
      <w:pPr>
        <w:spacing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 xml:space="preserve">Need for funding: </w:t>
      </w:r>
      <w:r>
        <w:rPr>
          <w:rFonts w:ascii="Times New Roman" w:eastAsia="Times New Roman" w:hAnsi="Times New Roman" w:cs="Times New Roman"/>
          <w:sz w:val="24"/>
          <w:szCs w:val="24"/>
        </w:rPr>
        <w:t>In no more than 2 paragraphs explain why this funding is needed. Include current initiatives/education and how this funding will enhance those efforts or be used to create new programs. Include d</w:t>
      </w:r>
      <w:r>
        <w:rPr>
          <w:rFonts w:ascii="Times New Roman" w:eastAsia="Times New Roman" w:hAnsi="Times New Roman" w:cs="Times New Roman"/>
          <w:sz w:val="24"/>
          <w:szCs w:val="24"/>
        </w:rPr>
        <w:t>emographics on youth, population and community served and how this funding will make a difference.</w:t>
      </w:r>
    </w:p>
    <w:p w:rsidR="00B44579" w:rsidRDefault="0061492A">
      <w:pPr>
        <w:spacing w:after="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 xml:space="preserve">Description of the Program: </w:t>
      </w:r>
      <w:r>
        <w:rPr>
          <w:rFonts w:ascii="Times New Roman" w:eastAsia="Times New Roman" w:hAnsi="Times New Roman" w:cs="Times New Roman"/>
          <w:sz w:val="24"/>
          <w:szCs w:val="24"/>
        </w:rPr>
        <w:t>Describe in greater detail the proposed item(s) or activities. Include timeline, materials that will be used, description of the target population, number of students and adults that will be reached, evaluation methods, and plans for sustainability.</w:t>
      </w:r>
    </w:p>
    <w:p w:rsidR="00B44579" w:rsidRDefault="006149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Lin</w:t>
      </w:r>
      <w:r>
        <w:rPr>
          <w:rFonts w:ascii="Times New Roman" w:eastAsia="Times New Roman" w:hAnsi="Times New Roman" w:cs="Times New Roman"/>
          <w:b/>
          <w:sz w:val="24"/>
          <w:szCs w:val="24"/>
        </w:rPr>
        <w:t xml:space="preserve">e Item Budget: </w:t>
      </w:r>
      <w:r>
        <w:rPr>
          <w:rFonts w:ascii="Times New Roman" w:eastAsia="Times New Roman" w:hAnsi="Times New Roman" w:cs="Times New Roman"/>
          <w:sz w:val="24"/>
          <w:szCs w:val="24"/>
        </w:rPr>
        <w:t>Provide justification for all funding requested in the proposal. Include specific costs of proposed materials. Acceptable expenses are educational materials, publicity of activities, travel expenses, salary, food (no more than $5-7 per perso</w:t>
      </w:r>
      <w:r>
        <w:rPr>
          <w:rFonts w:ascii="Times New Roman" w:eastAsia="Times New Roman" w:hAnsi="Times New Roman" w:cs="Times New Roman"/>
          <w:sz w:val="24"/>
          <w:szCs w:val="24"/>
        </w:rPr>
        <w:t>n) and event supplies.</w:t>
      </w:r>
    </w:p>
    <w:p w:rsidR="00B44579" w:rsidRDefault="0061492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44579" w:rsidRDefault="0061492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CONSIDERATIONS</w:t>
      </w:r>
    </w:p>
    <w:p w:rsidR="00B44579" w:rsidRDefault="0061492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Late proposals will not be accepted. Proposals may be emailed or hand delivered to the health department. </w:t>
      </w:r>
    </w:p>
    <w:p w:rsidR="00B44579" w:rsidRDefault="00B44579">
      <w:pPr>
        <w:spacing w:after="0"/>
        <w:rPr>
          <w:rFonts w:ascii="Times New Roman" w:eastAsia="Times New Roman" w:hAnsi="Times New Roman" w:cs="Times New Roman"/>
          <w:sz w:val="24"/>
          <w:szCs w:val="24"/>
        </w:rPr>
      </w:pPr>
    </w:p>
    <w:p w:rsidR="00B44579" w:rsidRDefault="0061492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Each organization funded will be required to submit quarterly reports to the Somerset County Health Department along with all receipts and expenditures.</w:t>
      </w:r>
    </w:p>
    <w:p w:rsidR="00B44579" w:rsidRDefault="00B44579">
      <w:pPr>
        <w:spacing w:after="0"/>
        <w:rPr>
          <w:rFonts w:ascii="Times New Roman" w:eastAsia="Times New Roman" w:hAnsi="Times New Roman" w:cs="Times New Roman"/>
          <w:sz w:val="24"/>
          <w:szCs w:val="24"/>
        </w:rPr>
      </w:pPr>
    </w:p>
    <w:p w:rsidR="00B44579" w:rsidRDefault="0061492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Awardees will meet with the Prevention Services Director and SRAE Coordinator to sign award docu</w:t>
      </w:r>
      <w:r>
        <w:rPr>
          <w:rFonts w:ascii="Times New Roman" w:eastAsia="Times New Roman" w:hAnsi="Times New Roman" w:cs="Times New Roman"/>
          <w:sz w:val="24"/>
          <w:szCs w:val="24"/>
        </w:rPr>
        <w:t>ments and discuss project implementation.</w:t>
      </w:r>
    </w:p>
    <w:p w:rsidR="00B44579" w:rsidRDefault="0061492A">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Awardees must agree to at least one site visit by the Prevention Services Director and/or SRAE Coordinator.</w:t>
      </w:r>
    </w:p>
    <w:p w:rsidR="00B44579" w:rsidRDefault="00B44579"/>
    <w:p w:rsidR="00B44579" w:rsidRDefault="00B44579"/>
    <w:sectPr w:rsidR="00B44579">
      <w:footerReference w:type="default" r:id="rId9"/>
      <w:pgSz w:w="12240" w:h="15840"/>
      <w:pgMar w:top="630" w:right="1440" w:bottom="108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1492A">
      <w:pPr>
        <w:spacing w:after="0" w:line="240" w:lineRule="auto"/>
      </w:pPr>
      <w:r>
        <w:separator/>
      </w:r>
    </w:p>
  </w:endnote>
  <w:endnote w:type="continuationSeparator" w:id="0">
    <w:p w:rsidR="00000000" w:rsidRDefault="0061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579" w:rsidRDefault="0061492A">
    <w:pPr>
      <w:pBdr>
        <w:top w:val="nil"/>
        <w:left w:val="nil"/>
        <w:bottom w:val="nil"/>
        <w:right w:val="nil"/>
        <w:between w:val="nil"/>
      </w:pBdr>
      <w:tabs>
        <w:tab w:val="center" w:pos="4680"/>
        <w:tab w:val="right" w:pos="9360"/>
      </w:tabs>
      <w:spacing w:after="0" w:line="240" w:lineRule="auto"/>
      <w:jc w:val="center"/>
      <w:rPr>
        <w:rFonts w:ascii="Bookman Old Style" w:eastAsia="Bookman Old Style" w:hAnsi="Bookman Old Style" w:cs="Bookman Old Style"/>
        <w:color w:val="1F497D"/>
        <w:sz w:val="20"/>
        <w:szCs w:val="20"/>
      </w:rPr>
    </w:pPr>
    <w:r>
      <w:rPr>
        <w:rFonts w:ascii="Bookman Old Style" w:eastAsia="Bookman Old Style" w:hAnsi="Bookman Old Style" w:cs="Bookman Old Style"/>
        <w:color w:val="1F497D"/>
        <w:sz w:val="20"/>
        <w:szCs w:val="20"/>
      </w:rPr>
      <w:t>Affirmative Action and Equal Opportunity Employer and Provider</w:t>
    </w:r>
  </w:p>
  <w:p w:rsidR="00B44579" w:rsidRDefault="00B4457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1492A">
      <w:pPr>
        <w:spacing w:after="0" w:line="240" w:lineRule="auto"/>
      </w:pPr>
      <w:r>
        <w:separator/>
      </w:r>
    </w:p>
  </w:footnote>
  <w:footnote w:type="continuationSeparator" w:id="0">
    <w:p w:rsidR="00000000" w:rsidRDefault="006149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9"/>
    <w:rsid w:val="0061492A"/>
    <w:rsid w:val="00B4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FB124-4357-439F-89A7-18887018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ynice.deshields@maryland.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 Lynch</dc:creator>
  <cp:lastModifiedBy>Sharon E. Lynch -MDH-</cp:lastModifiedBy>
  <cp:revision>2</cp:revision>
  <dcterms:created xsi:type="dcterms:W3CDTF">2019-10-02T18:04:00Z</dcterms:created>
  <dcterms:modified xsi:type="dcterms:W3CDTF">2019-10-02T18:04:00Z</dcterms:modified>
</cp:coreProperties>
</file>